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58ED" w14:textId="78DFB399" w:rsidR="006C3D48" w:rsidRPr="008138D7" w:rsidRDefault="006C3D48" w:rsidP="006C3D48">
      <w:pPr>
        <w:jc w:val="center"/>
        <w:rPr>
          <w:b/>
          <w:bCs/>
        </w:rPr>
      </w:pPr>
      <w:r w:rsidRPr="008138D7">
        <w:rPr>
          <w:b/>
          <w:bCs/>
        </w:rPr>
        <w:t xml:space="preserve">Information Request for </w:t>
      </w:r>
      <w:r w:rsidR="008138D7">
        <w:rPr>
          <w:b/>
          <w:bCs/>
        </w:rPr>
        <w:t xml:space="preserve">HVNL Project D: </w:t>
      </w:r>
      <w:r w:rsidRPr="008138D7">
        <w:rPr>
          <w:b/>
          <w:bCs/>
        </w:rPr>
        <w:t>Fatigue Management</w:t>
      </w:r>
    </w:p>
    <w:p w14:paraId="2BCD8AC4" w14:textId="37A3ED9E" w:rsidR="006C3D48" w:rsidRDefault="00FF7BA3" w:rsidP="00B343A5">
      <w:pPr>
        <w:jc w:val="both"/>
      </w:pPr>
      <w:r w:rsidRPr="00FF7BA3">
        <w:rPr>
          <w:b/>
          <w:bCs/>
        </w:rPr>
        <w:t>Purpose:</w:t>
      </w:r>
      <w:r>
        <w:t xml:space="preserve"> </w:t>
      </w:r>
      <w:r w:rsidR="00C64907">
        <w:t xml:space="preserve">The NTC is currently progressing </w:t>
      </w:r>
      <w:r w:rsidR="00AF635D">
        <w:t>the approved program of work</w:t>
      </w:r>
      <w:r w:rsidR="00545866">
        <w:t xml:space="preserve"> to create comprehensive and effective fatigue management requirements to meet the varied needs of operators and drivers.  In order to progress the scope of fatigue provisions and record keeping reforms</w:t>
      </w:r>
      <w:r w:rsidR="00523480">
        <w:t xml:space="preserve"> an economic assessment is being undertaken. The purpose of this assessment is to </w:t>
      </w:r>
      <w:r w:rsidR="00B343A5">
        <w:t xml:space="preserve">identify </w:t>
      </w:r>
      <w:r w:rsidR="00B343A5" w:rsidRPr="00B343A5">
        <w:t>the costs and benefits associated with amending the definition of fatigue regulated heavy vehicles, and increased automation using digital technologies for record-keeping.​</w:t>
      </w:r>
      <w:r w:rsidR="003505D1">
        <w:t xml:space="preserve"> </w:t>
      </w:r>
    </w:p>
    <w:p w14:paraId="0785DE37" w14:textId="10547EB9" w:rsidR="00FF7BA3" w:rsidRDefault="00FF7BA3" w:rsidP="00B343A5">
      <w:pPr>
        <w:jc w:val="both"/>
      </w:pPr>
      <w:r w:rsidRPr="00FF7BA3">
        <w:rPr>
          <w:b/>
          <w:bCs/>
        </w:rPr>
        <w:t>Information needed:</w:t>
      </w:r>
      <w:r>
        <w:t xml:space="preserve"> It is requested that members of the Industry Advisory Group (IAG)</w:t>
      </w:r>
      <w:r w:rsidR="00FF59F4">
        <w:t xml:space="preserve"> complete the </w:t>
      </w:r>
      <w:r w:rsidR="008609BE">
        <w:t>last column of the table,</w:t>
      </w:r>
      <w:r w:rsidR="00FF59F4">
        <w:t xml:space="preserve"> </w:t>
      </w:r>
      <w:r w:rsidR="008609BE">
        <w:t xml:space="preserve">for it to </w:t>
      </w:r>
      <w:r w:rsidR="00FF59F4">
        <w:t xml:space="preserve">be used </w:t>
      </w:r>
      <w:r w:rsidR="00747289">
        <w:t>in</w:t>
      </w:r>
      <w:r w:rsidR="00FF59F4">
        <w:t xml:space="preserve"> the CBA.</w:t>
      </w:r>
    </w:p>
    <w:p w14:paraId="7C77453A" w14:textId="3E42B757" w:rsidR="00FF59F4" w:rsidRDefault="00FF59F4" w:rsidP="00B343A5">
      <w:pPr>
        <w:jc w:val="both"/>
      </w:pPr>
      <w:r w:rsidRPr="00FF59F4">
        <w:rPr>
          <w:b/>
          <w:bCs/>
        </w:rPr>
        <w:t>When:</w:t>
      </w:r>
      <w:r>
        <w:t xml:space="preserve"> By Friday 22</w:t>
      </w:r>
      <w:r w:rsidRPr="00FF59F4">
        <w:rPr>
          <w:vertAlign w:val="superscript"/>
        </w:rPr>
        <w:t>nd</w:t>
      </w:r>
      <w:r>
        <w:t xml:space="preserve"> October 2021</w:t>
      </w:r>
    </w:p>
    <w:tbl>
      <w:tblPr>
        <w:tblStyle w:val="ListTable3-Accent2"/>
        <w:tblW w:w="5002" w:type="pct"/>
        <w:tblLayout w:type="fixed"/>
        <w:tblLook w:val="0420" w:firstRow="1" w:lastRow="0" w:firstColumn="0" w:lastColumn="0" w:noHBand="0" w:noVBand="1"/>
      </w:tblPr>
      <w:tblGrid>
        <w:gridCol w:w="5776"/>
        <w:gridCol w:w="1622"/>
        <w:gridCol w:w="1622"/>
      </w:tblGrid>
      <w:tr w:rsidR="00DE2B32" w:rsidRPr="002D2F20" w14:paraId="40EA8755" w14:textId="77777777" w:rsidTr="15C8C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76" w:type="dxa"/>
          </w:tcPr>
          <w:p w14:paraId="40EA8752" w14:textId="77777777" w:rsidR="00DE2B32" w:rsidRPr="002D2F20" w:rsidRDefault="00DE2B32" w:rsidP="00FE61F2">
            <w:pPr>
              <w:pStyle w:val="TableText"/>
              <w:rPr>
                <w:sz w:val="18"/>
                <w:szCs w:val="18"/>
              </w:rPr>
            </w:pPr>
            <w:r w:rsidRPr="002D2F20">
              <w:rPr>
                <w:sz w:val="18"/>
                <w:szCs w:val="18"/>
              </w:rPr>
              <w:t xml:space="preserve">Input </w:t>
            </w:r>
          </w:p>
        </w:tc>
        <w:tc>
          <w:tcPr>
            <w:tcW w:w="1622" w:type="dxa"/>
          </w:tcPr>
          <w:p w14:paraId="40EA8753" w14:textId="77777777" w:rsidR="00DE2B32" w:rsidRPr="002D2F20" w:rsidRDefault="00DE2B32" w:rsidP="00FE61F2">
            <w:pPr>
              <w:pStyle w:val="TableText"/>
              <w:jc w:val="center"/>
              <w:rPr>
                <w:sz w:val="18"/>
                <w:szCs w:val="18"/>
              </w:rPr>
            </w:pPr>
            <w:r w:rsidRPr="002D2F20">
              <w:rPr>
                <w:sz w:val="18"/>
                <w:szCs w:val="18"/>
              </w:rPr>
              <w:t xml:space="preserve">Unit </w:t>
            </w:r>
          </w:p>
        </w:tc>
        <w:tc>
          <w:tcPr>
            <w:tcW w:w="1622" w:type="dxa"/>
          </w:tcPr>
          <w:p w14:paraId="40EA8754" w14:textId="77777777" w:rsidR="00DE2B32" w:rsidRPr="002D2F20" w:rsidRDefault="00DE2B32" w:rsidP="00FE61F2">
            <w:pPr>
              <w:pStyle w:val="TableText"/>
              <w:jc w:val="center"/>
              <w:rPr>
                <w:sz w:val="18"/>
                <w:szCs w:val="18"/>
              </w:rPr>
            </w:pPr>
            <w:r w:rsidRPr="002D2F20">
              <w:rPr>
                <w:sz w:val="18"/>
                <w:szCs w:val="18"/>
              </w:rPr>
              <w:t xml:space="preserve">Base </w:t>
            </w:r>
          </w:p>
        </w:tc>
      </w:tr>
      <w:tr w:rsidR="00DE2B32" w:rsidRPr="002D2F20" w14:paraId="40EA8759" w14:textId="77777777" w:rsidTr="15C8C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76" w:type="dxa"/>
          </w:tcPr>
          <w:p w14:paraId="40EA8756" w14:textId="77777777" w:rsidR="00DE2B32" w:rsidRPr="002D2F20" w:rsidRDefault="00DE2B32" w:rsidP="00FE61F2">
            <w:pPr>
              <w:pStyle w:val="TableText"/>
              <w:rPr>
                <w:b/>
                <w:bCs/>
                <w:sz w:val="18"/>
                <w:szCs w:val="18"/>
              </w:rPr>
            </w:pPr>
            <w:r w:rsidRPr="002D2F20">
              <w:rPr>
                <w:b/>
                <w:bCs/>
                <w:sz w:val="18"/>
                <w:szCs w:val="18"/>
              </w:rPr>
              <w:t>Upfront driver and operator costs</w:t>
            </w:r>
          </w:p>
        </w:tc>
        <w:tc>
          <w:tcPr>
            <w:tcW w:w="1622" w:type="dxa"/>
          </w:tcPr>
          <w:p w14:paraId="40EA8757" w14:textId="77777777" w:rsidR="00DE2B32" w:rsidRPr="002D2F20" w:rsidRDefault="00DE2B32" w:rsidP="00FE61F2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</w:tcPr>
          <w:p w14:paraId="40EA8758" w14:textId="77777777" w:rsidR="00DE2B32" w:rsidRPr="002D2F20" w:rsidRDefault="00DE2B32" w:rsidP="00FE61F2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E2B32" w:rsidRPr="002D2F20" w14:paraId="40EA875D" w14:textId="77777777" w:rsidTr="15C8CB5B">
        <w:tc>
          <w:tcPr>
            <w:tcW w:w="5776" w:type="dxa"/>
          </w:tcPr>
          <w:p w14:paraId="40EA875A" w14:textId="594FF247" w:rsidR="00DE2B32" w:rsidRPr="002D2F20" w:rsidRDefault="00AE52DA" w:rsidP="00FE61F2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 of purchasing a work diary per vehicle</w:t>
            </w:r>
          </w:p>
        </w:tc>
        <w:tc>
          <w:tcPr>
            <w:tcW w:w="1622" w:type="dxa"/>
          </w:tcPr>
          <w:p w14:paraId="40EA875B" w14:textId="77777777" w:rsidR="00DE2B32" w:rsidRPr="002D2F20" w:rsidRDefault="00DE2B32" w:rsidP="00FE61F2">
            <w:pPr>
              <w:pStyle w:val="TableText"/>
              <w:jc w:val="center"/>
              <w:rPr>
                <w:sz w:val="18"/>
                <w:szCs w:val="18"/>
              </w:rPr>
            </w:pPr>
            <w:r w:rsidRPr="002D2F20">
              <w:rPr>
                <w:sz w:val="18"/>
                <w:szCs w:val="18"/>
              </w:rPr>
              <w:t>$/vehicle</w:t>
            </w:r>
          </w:p>
        </w:tc>
        <w:tc>
          <w:tcPr>
            <w:tcW w:w="1622" w:type="dxa"/>
          </w:tcPr>
          <w:p w14:paraId="40EA875C" w14:textId="77777777" w:rsidR="00DE2B32" w:rsidRPr="002D2F20" w:rsidRDefault="00DE2B32" w:rsidP="00FE61F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DE2B32" w:rsidRPr="002D2F20" w14:paraId="40EA8765" w14:textId="77777777" w:rsidTr="15C8C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76" w:type="dxa"/>
          </w:tcPr>
          <w:p w14:paraId="40EA8762" w14:textId="77777777" w:rsidR="00DE2B32" w:rsidRPr="002D2F20" w:rsidRDefault="00DE2B32" w:rsidP="00FE61F2">
            <w:pPr>
              <w:pStyle w:val="TableText"/>
              <w:rPr>
                <w:b/>
                <w:bCs/>
                <w:sz w:val="18"/>
                <w:szCs w:val="18"/>
              </w:rPr>
            </w:pPr>
            <w:r w:rsidRPr="002D2F20">
              <w:rPr>
                <w:b/>
                <w:bCs/>
                <w:sz w:val="18"/>
                <w:szCs w:val="18"/>
              </w:rPr>
              <w:t>Work diary costs</w:t>
            </w:r>
          </w:p>
        </w:tc>
        <w:tc>
          <w:tcPr>
            <w:tcW w:w="1622" w:type="dxa"/>
          </w:tcPr>
          <w:p w14:paraId="40EA8763" w14:textId="77777777" w:rsidR="00DE2B32" w:rsidRPr="002D2F20" w:rsidRDefault="00DE2B32" w:rsidP="00FE61F2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</w:tcPr>
          <w:p w14:paraId="40EA8764" w14:textId="77777777" w:rsidR="00DE2B32" w:rsidRPr="002D2F20" w:rsidRDefault="00DE2B32" w:rsidP="00FE61F2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E2B32" w:rsidRPr="002D2F20" w14:paraId="40EA8769" w14:textId="77777777" w:rsidTr="15C8CB5B">
        <w:tc>
          <w:tcPr>
            <w:tcW w:w="5776" w:type="dxa"/>
          </w:tcPr>
          <w:p w14:paraId="40EA8766" w14:textId="77777777" w:rsidR="00DE2B32" w:rsidRPr="002D2F20" w:rsidRDefault="00DE2B32" w:rsidP="00FE61F2">
            <w:pPr>
              <w:pStyle w:val="TableText"/>
              <w:rPr>
                <w:sz w:val="18"/>
                <w:szCs w:val="18"/>
              </w:rPr>
            </w:pPr>
            <w:r w:rsidRPr="002D2F20">
              <w:rPr>
                <w:sz w:val="18"/>
                <w:szCs w:val="18"/>
              </w:rPr>
              <w:t>Non-fatigue regulated HVs that keep work diaries</w:t>
            </w:r>
          </w:p>
        </w:tc>
        <w:tc>
          <w:tcPr>
            <w:tcW w:w="1622" w:type="dxa"/>
          </w:tcPr>
          <w:p w14:paraId="40EA8767" w14:textId="77777777" w:rsidR="00DE2B32" w:rsidRPr="002D2F20" w:rsidRDefault="00DE2B32" w:rsidP="00FE61F2">
            <w:pPr>
              <w:pStyle w:val="TableText"/>
              <w:jc w:val="center"/>
              <w:rPr>
                <w:sz w:val="18"/>
                <w:szCs w:val="18"/>
              </w:rPr>
            </w:pPr>
            <w:r w:rsidRPr="002D2F20">
              <w:rPr>
                <w:sz w:val="18"/>
                <w:szCs w:val="18"/>
              </w:rPr>
              <w:t>%</w:t>
            </w:r>
          </w:p>
        </w:tc>
        <w:tc>
          <w:tcPr>
            <w:tcW w:w="1622" w:type="dxa"/>
          </w:tcPr>
          <w:p w14:paraId="40EA8768" w14:textId="77777777" w:rsidR="00DE2B32" w:rsidRPr="002D2F20" w:rsidRDefault="00DE2B32" w:rsidP="00FE61F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DE2B32" w:rsidRPr="002D2F20" w14:paraId="40EA876D" w14:textId="77777777" w:rsidTr="15C8C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76" w:type="dxa"/>
          </w:tcPr>
          <w:p w14:paraId="40EA876A" w14:textId="77777777" w:rsidR="00DE2B32" w:rsidRPr="002D2F20" w:rsidRDefault="00DE2B32" w:rsidP="00FE61F2">
            <w:pPr>
              <w:pStyle w:val="TableText"/>
              <w:rPr>
                <w:sz w:val="18"/>
                <w:szCs w:val="18"/>
              </w:rPr>
            </w:pPr>
            <w:r w:rsidRPr="002D2F20">
              <w:rPr>
                <w:sz w:val="18"/>
                <w:szCs w:val="18"/>
              </w:rPr>
              <w:t>Fatigue regulated HVs that must keep HVNL work diaries</w:t>
            </w:r>
          </w:p>
        </w:tc>
        <w:tc>
          <w:tcPr>
            <w:tcW w:w="1622" w:type="dxa"/>
          </w:tcPr>
          <w:p w14:paraId="40EA876B" w14:textId="77777777" w:rsidR="00DE2B32" w:rsidRPr="002D2F20" w:rsidRDefault="00DE2B32" w:rsidP="00FE61F2">
            <w:pPr>
              <w:pStyle w:val="TableText"/>
              <w:jc w:val="center"/>
              <w:rPr>
                <w:sz w:val="18"/>
                <w:szCs w:val="18"/>
              </w:rPr>
            </w:pPr>
            <w:r w:rsidRPr="002D2F20">
              <w:rPr>
                <w:sz w:val="18"/>
                <w:szCs w:val="18"/>
              </w:rPr>
              <w:t>%</w:t>
            </w:r>
          </w:p>
        </w:tc>
        <w:tc>
          <w:tcPr>
            <w:tcW w:w="1622" w:type="dxa"/>
          </w:tcPr>
          <w:p w14:paraId="40EA876C" w14:textId="77777777" w:rsidR="00DE2B32" w:rsidRPr="002D2F20" w:rsidRDefault="00DE2B32" w:rsidP="00FE61F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DE2B32" w:rsidRPr="002D2F20" w14:paraId="40EA8771" w14:textId="77777777" w:rsidTr="15C8CB5B">
        <w:tc>
          <w:tcPr>
            <w:tcW w:w="5776" w:type="dxa"/>
          </w:tcPr>
          <w:p w14:paraId="40EA876E" w14:textId="77777777" w:rsidR="00DE2B32" w:rsidRPr="002D2F20" w:rsidRDefault="00DE2B32" w:rsidP="00FE61F2">
            <w:pPr>
              <w:pStyle w:val="TableText"/>
              <w:rPr>
                <w:sz w:val="18"/>
                <w:szCs w:val="18"/>
              </w:rPr>
            </w:pPr>
            <w:r w:rsidRPr="002D2F20">
              <w:rPr>
                <w:sz w:val="18"/>
                <w:szCs w:val="18"/>
              </w:rPr>
              <w:t>Driver time to complete work diary</w:t>
            </w:r>
          </w:p>
        </w:tc>
        <w:tc>
          <w:tcPr>
            <w:tcW w:w="1622" w:type="dxa"/>
          </w:tcPr>
          <w:p w14:paraId="40EA876F" w14:textId="77777777" w:rsidR="00DE2B32" w:rsidRPr="002D2F20" w:rsidRDefault="00DE2B32" w:rsidP="00FE61F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14:paraId="40EA8770" w14:textId="77777777" w:rsidR="00DE2B32" w:rsidRPr="002D2F20" w:rsidRDefault="00DE2B32" w:rsidP="00FE61F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DE2B32" w:rsidRPr="002D2F20" w14:paraId="40EA8775" w14:textId="77777777" w:rsidTr="15C8C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76" w:type="dxa"/>
          </w:tcPr>
          <w:p w14:paraId="40EA8772" w14:textId="77777777" w:rsidR="00DE2B32" w:rsidRPr="002D2F20" w:rsidRDefault="00DE2B32" w:rsidP="00FE61F2">
            <w:pPr>
              <w:pStyle w:val="TableText"/>
              <w:rPr>
                <w:sz w:val="18"/>
                <w:szCs w:val="18"/>
              </w:rPr>
            </w:pPr>
            <w:r w:rsidRPr="002D2F20">
              <w:rPr>
                <w:sz w:val="18"/>
                <w:szCs w:val="18"/>
              </w:rPr>
              <w:t xml:space="preserve"> - Non-fatigue regulated HVs</w:t>
            </w:r>
          </w:p>
        </w:tc>
        <w:tc>
          <w:tcPr>
            <w:tcW w:w="1622" w:type="dxa"/>
          </w:tcPr>
          <w:p w14:paraId="40EA8773" w14:textId="77777777" w:rsidR="00DE2B32" w:rsidRPr="002D2F20" w:rsidRDefault="00DE2B32" w:rsidP="00FE61F2">
            <w:pPr>
              <w:pStyle w:val="TableText"/>
              <w:jc w:val="center"/>
              <w:rPr>
                <w:sz w:val="18"/>
                <w:szCs w:val="18"/>
              </w:rPr>
            </w:pPr>
            <w:r w:rsidRPr="002D2F20">
              <w:rPr>
                <w:sz w:val="18"/>
                <w:szCs w:val="18"/>
              </w:rPr>
              <w:t>Hours/year</w:t>
            </w:r>
          </w:p>
        </w:tc>
        <w:tc>
          <w:tcPr>
            <w:tcW w:w="1622" w:type="dxa"/>
          </w:tcPr>
          <w:p w14:paraId="40EA8774" w14:textId="77777777" w:rsidR="00DE2B32" w:rsidRPr="002D2F20" w:rsidRDefault="00DE2B32" w:rsidP="00FE61F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DE2B32" w:rsidRPr="002D2F20" w14:paraId="40EA8779" w14:textId="77777777" w:rsidTr="15C8CB5B">
        <w:tc>
          <w:tcPr>
            <w:tcW w:w="5776" w:type="dxa"/>
          </w:tcPr>
          <w:p w14:paraId="40EA8776" w14:textId="77777777" w:rsidR="00DE2B32" w:rsidRPr="002D2F20" w:rsidRDefault="00DE2B32" w:rsidP="00FE61F2">
            <w:pPr>
              <w:pStyle w:val="TableText"/>
              <w:rPr>
                <w:sz w:val="18"/>
                <w:szCs w:val="18"/>
              </w:rPr>
            </w:pPr>
            <w:r w:rsidRPr="002D2F20">
              <w:rPr>
                <w:sz w:val="18"/>
                <w:szCs w:val="18"/>
              </w:rPr>
              <w:t xml:space="preserve"> - Fatigue regulated HVs (w/ HVNL work diary)</w:t>
            </w:r>
          </w:p>
        </w:tc>
        <w:tc>
          <w:tcPr>
            <w:tcW w:w="1622" w:type="dxa"/>
          </w:tcPr>
          <w:p w14:paraId="40EA8777" w14:textId="77777777" w:rsidR="00DE2B32" w:rsidRPr="002D2F20" w:rsidRDefault="00DE2B32" w:rsidP="00FE61F2">
            <w:pPr>
              <w:pStyle w:val="TableText"/>
              <w:jc w:val="center"/>
              <w:rPr>
                <w:sz w:val="18"/>
                <w:szCs w:val="18"/>
              </w:rPr>
            </w:pPr>
            <w:r w:rsidRPr="002D2F20">
              <w:rPr>
                <w:sz w:val="18"/>
                <w:szCs w:val="18"/>
              </w:rPr>
              <w:t>Hours/year</w:t>
            </w:r>
          </w:p>
        </w:tc>
        <w:tc>
          <w:tcPr>
            <w:tcW w:w="1622" w:type="dxa"/>
          </w:tcPr>
          <w:p w14:paraId="40EA8778" w14:textId="77777777" w:rsidR="00DE2B32" w:rsidRPr="002D2F20" w:rsidRDefault="00DE2B32" w:rsidP="00FE61F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DE2B32" w:rsidRPr="002D2F20" w14:paraId="40EA877D" w14:textId="77777777" w:rsidTr="15C8C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76" w:type="dxa"/>
          </w:tcPr>
          <w:p w14:paraId="40EA877A" w14:textId="77777777" w:rsidR="00DE2B32" w:rsidRPr="002D2F20" w:rsidRDefault="00DE2B32" w:rsidP="00FE61F2">
            <w:pPr>
              <w:pStyle w:val="TableText"/>
              <w:rPr>
                <w:sz w:val="18"/>
                <w:szCs w:val="18"/>
              </w:rPr>
            </w:pPr>
            <w:r w:rsidRPr="002D2F20">
              <w:rPr>
                <w:sz w:val="18"/>
                <w:szCs w:val="18"/>
              </w:rPr>
              <w:t xml:space="preserve"> - Fatigue regulated HVs (w/o HVNL work diary)</w:t>
            </w:r>
          </w:p>
        </w:tc>
        <w:tc>
          <w:tcPr>
            <w:tcW w:w="1622" w:type="dxa"/>
          </w:tcPr>
          <w:p w14:paraId="40EA877B" w14:textId="77777777" w:rsidR="00DE2B32" w:rsidRPr="002D2F20" w:rsidRDefault="00DE2B32" w:rsidP="00FE61F2">
            <w:pPr>
              <w:pStyle w:val="TableText"/>
              <w:jc w:val="center"/>
              <w:rPr>
                <w:sz w:val="18"/>
                <w:szCs w:val="18"/>
              </w:rPr>
            </w:pPr>
            <w:r w:rsidRPr="002D2F20">
              <w:rPr>
                <w:sz w:val="18"/>
                <w:szCs w:val="18"/>
              </w:rPr>
              <w:t>Hours/year</w:t>
            </w:r>
          </w:p>
        </w:tc>
        <w:tc>
          <w:tcPr>
            <w:tcW w:w="1622" w:type="dxa"/>
          </w:tcPr>
          <w:p w14:paraId="40EA877C" w14:textId="77777777" w:rsidR="00DE2B32" w:rsidRPr="002D2F20" w:rsidRDefault="00DE2B32" w:rsidP="00FE61F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DE2B32" w:rsidRPr="002D2F20" w14:paraId="40EA8781" w14:textId="77777777" w:rsidTr="15C8CB5B">
        <w:tc>
          <w:tcPr>
            <w:tcW w:w="5776" w:type="dxa"/>
          </w:tcPr>
          <w:p w14:paraId="40EA877E" w14:textId="77777777" w:rsidR="00DE2B32" w:rsidRPr="002D2F20" w:rsidRDefault="00DE2B32" w:rsidP="00FE61F2">
            <w:pPr>
              <w:pStyle w:val="TableText"/>
              <w:rPr>
                <w:sz w:val="18"/>
                <w:szCs w:val="18"/>
              </w:rPr>
            </w:pPr>
            <w:r w:rsidRPr="002D2F20">
              <w:rPr>
                <w:sz w:val="18"/>
                <w:szCs w:val="18"/>
              </w:rPr>
              <w:t>Hourly driver wage</w:t>
            </w:r>
          </w:p>
        </w:tc>
        <w:tc>
          <w:tcPr>
            <w:tcW w:w="1622" w:type="dxa"/>
          </w:tcPr>
          <w:p w14:paraId="40EA877F" w14:textId="77777777" w:rsidR="00DE2B32" w:rsidRPr="002D2F20" w:rsidRDefault="00DE2B32" w:rsidP="00FE61F2">
            <w:pPr>
              <w:pStyle w:val="TableText"/>
              <w:jc w:val="center"/>
              <w:rPr>
                <w:sz w:val="18"/>
                <w:szCs w:val="18"/>
              </w:rPr>
            </w:pPr>
            <w:r w:rsidRPr="002D2F20">
              <w:rPr>
                <w:sz w:val="18"/>
                <w:szCs w:val="18"/>
              </w:rPr>
              <w:t>$/Hour</w:t>
            </w:r>
          </w:p>
        </w:tc>
        <w:tc>
          <w:tcPr>
            <w:tcW w:w="1622" w:type="dxa"/>
          </w:tcPr>
          <w:p w14:paraId="40EA8780" w14:textId="77777777" w:rsidR="00DE2B32" w:rsidRPr="002D2F20" w:rsidRDefault="00DE2B32" w:rsidP="00FE61F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DE2B32" w:rsidRPr="002D2F20" w14:paraId="40EA8789" w14:textId="77777777" w:rsidTr="15C8C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76" w:type="dxa"/>
          </w:tcPr>
          <w:p w14:paraId="40EA8786" w14:textId="0C0E8BCE" w:rsidR="00DE2B32" w:rsidRPr="002D2F20" w:rsidRDefault="00DE2B32" w:rsidP="00FE61F2">
            <w:pPr>
              <w:pStyle w:val="TableText"/>
              <w:rPr>
                <w:b/>
                <w:bCs/>
                <w:sz w:val="18"/>
                <w:szCs w:val="18"/>
              </w:rPr>
            </w:pPr>
            <w:r w:rsidRPr="57A076B2">
              <w:rPr>
                <w:b/>
                <w:bCs/>
                <w:sz w:val="18"/>
                <w:szCs w:val="18"/>
              </w:rPr>
              <w:t>Record keeping costs</w:t>
            </w:r>
            <w:r w:rsidR="00626D47" w:rsidRPr="57A076B2">
              <w:rPr>
                <w:b/>
                <w:bCs/>
                <w:sz w:val="18"/>
                <w:szCs w:val="18"/>
              </w:rPr>
              <w:t xml:space="preserve"> (Back</w:t>
            </w:r>
            <w:r w:rsidR="00060651" w:rsidRPr="57A076B2">
              <w:rPr>
                <w:b/>
                <w:bCs/>
                <w:sz w:val="18"/>
                <w:szCs w:val="18"/>
              </w:rPr>
              <w:t>-</w:t>
            </w:r>
            <w:r w:rsidR="00626D47" w:rsidRPr="57A076B2">
              <w:rPr>
                <w:b/>
                <w:bCs/>
                <w:sz w:val="18"/>
                <w:szCs w:val="18"/>
              </w:rPr>
              <w:t>of</w:t>
            </w:r>
            <w:r w:rsidR="00060651" w:rsidRPr="57A076B2">
              <w:rPr>
                <w:b/>
                <w:bCs/>
                <w:sz w:val="18"/>
                <w:szCs w:val="18"/>
              </w:rPr>
              <w:t xml:space="preserve">-office </w:t>
            </w:r>
            <w:r w:rsidR="00626D47" w:rsidRPr="57A076B2">
              <w:rPr>
                <w:b/>
                <w:bCs/>
                <w:sz w:val="18"/>
                <w:szCs w:val="18"/>
              </w:rPr>
              <w:t>record</w:t>
            </w:r>
            <w:r w:rsidR="6AEF27A4" w:rsidRPr="57A076B2">
              <w:rPr>
                <w:b/>
                <w:bCs/>
                <w:sz w:val="18"/>
                <w:szCs w:val="18"/>
              </w:rPr>
              <w:t>s</w:t>
            </w:r>
            <w:r w:rsidR="00626D47" w:rsidRPr="57A076B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22" w:type="dxa"/>
          </w:tcPr>
          <w:p w14:paraId="40EA8787" w14:textId="77777777" w:rsidR="00DE2B32" w:rsidRPr="002D2F20" w:rsidRDefault="00DE2B32" w:rsidP="00FE61F2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</w:tcPr>
          <w:p w14:paraId="40EA8788" w14:textId="77777777" w:rsidR="00DE2B32" w:rsidRPr="002D2F20" w:rsidRDefault="00DE2B32" w:rsidP="00FE61F2">
            <w:pPr>
              <w:pStyle w:val="Table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E2B32" w:rsidRPr="002D2F20" w14:paraId="40EA878D" w14:textId="77777777" w:rsidTr="15C8CB5B">
        <w:tc>
          <w:tcPr>
            <w:tcW w:w="5776" w:type="dxa"/>
          </w:tcPr>
          <w:p w14:paraId="40EA878A" w14:textId="77777777" w:rsidR="00DE2B32" w:rsidRPr="002D2F20" w:rsidRDefault="00DE2B32" w:rsidP="00FE61F2">
            <w:pPr>
              <w:pStyle w:val="TableText"/>
              <w:rPr>
                <w:sz w:val="18"/>
                <w:szCs w:val="18"/>
              </w:rPr>
            </w:pPr>
            <w:r w:rsidRPr="002D2F20">
              <w:rPr>
                <w:sz w:val="18"/>
                <w:szCs w:val="18"/>
              </w:rPr>
              <w:t>Proportion of non-fatigue regulated HVs that keep records</w:t>
            </w:r>
          </w:p>
        </w:tc>
        <w:tc>
          <w:tcPr>
            <w:tcW w:w="1622" w:type="dxa"/>
          </w:tcPr>
          <w:p w14:paraId="40EA878B" w14:textId="77777777" w:rsidR="00DE2B32" w:rsidRPr="002D2F20" w:rsidRDefault="00DE2B32" w:rsidP="00FE61F2">
            <w:pPr>
              <w:pStyle w:val="TableText"/>
              <w:jc w:val="center"/>
              <w:rPr>
                <w:sz w:val="18"/>
                <w:szCs w:val="18"/>
              </w:rPr>
            </w:pPr>
            <w:r w:rsidRPr="002D2F20">
              <w:rPr>
                <w:sz w:val="18"/>
                <w:szCs w:val="18"/>
              </w:rPr>
              <w:t>%</w:t>
            </w:r>
          </w:p>
        </w:tc>
        <w:tc>
          <w:tcPr>
            <w:tcW w:w="1622" w:type="dxa"/>
          </w:tcPr>
          <w:p w14:paraId="40EA878C" w14:textId="77777777" w:rsidR="00DE2B32" w:rsidRPr="002D2F20" w:rsidRDefault="00DE2B32" w:rsidP="00FE61F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DE2B32" w:rsidRPr="002D2F20" w14:paraId="40EA8791" w14:textId="77777777" w:rsidTr="15C8C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76" w:type="dxa"/>
          </w:tcPr>
          <w:p w14:paraId="40EA878E" w14:textId="2FB084E8" w:rsidR="00DE2B32" w:rsidRPr="002D2F20" w:rsidRDefault="00DE2B32" w:rsidP="00FE61F2">
            <w:pPr>
              <w:pStyle w:val="TableText"/>
              <w:rPr>
                <w:sz w:val="18"/>
                <w:szCs w:val="18"/>
              </w:rPr>
            </w:pPr>
            <w:r w:rsidRPr="15C8CB5B">
              <w:rPr>
                <w:sz w:val="18"/>
                <w:szCs w:val="18"/>
              </w:rPr>
              <w:t xml:space="preserve">Number of FTE record keeping </w:t>
            </w:r>
            <w:r w:rsidR="599BF275" w:rsidRPr="15C8CB5B">
              <w:rPr>
                <w:sz w:val="18"/>
                <w:szCs w:val="18"/>
              </w:rPr>
              <w:t xml:space="preserve">&amp; monitoring </w:t>
            </w:r>
            <w:r w:rsidRPr="15C8CB5B">
              <w:rPr>
                <w:sz w:val="18"/>
                <w:szCs w:val="18"/>
              </w:rPr>
              <w:t>staff</w:t>
            </w:r>
          </w:p>
        </w:tc>
        <w:tc>
          <w:tcPr>
            <w:tcW w:w="1622" w:type="dxa"/>
          </w:tcPr>
          <w:p w14:paraId="40EA878F" w14:textId="77777777" w:rsidR="00DE2B32" w:rsidRPr="002D2F20" w:rsidRDefault="00DE2B32" w:rsidP="00FE61F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14:paraId="40EA8790" w14:textId="77777777" w:rsidR="00DE2B32" w:rsidRPr="002D2F20" w:rsidRDefault="00DE2B32" w:rsidP="00FE61F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DE2B32" w:rsidRPr="002D2F20" w14:paraId="40EA8795" w14:textId="77777777" w:rsidTr="15C8CB5B">
        <w:tc>
          <w:tcPr>
            <w:tcW w:w="5776" w:type="dxa"/>
          </w:tcPr>
          <w:p w14:paraId="40EA8792" w14:textId="77777777" w:rsidR="00DE2B32" w:rsidRPr="002D2F20" w:rsidRDefault="00DE2B32" w:rsidP="00FE61F2">
            <w:pPr>
              <w:pStyle w:val="TableText"/>
              <w:rPr>
                <w:sz w:val="18"/>
                <w:szCs w:val="18"/>
              </w:rPr>
            </w:pPr>
            <w:r w:rsidRPr="002D2F20">
              <w:rPr>
                <w:sz w:val="18"/>
                <w:szCs w:val="18"/>
              </w:rPr>
              <w:t xml:space="preserve"> - Non-fatigue regulated HVs</w:t>
            </w:r>
          </w:p>
        </w:tc>
        <w:tc>
          <w:tcPr>
            <w:tcW w:w="1622" w:type="dxa"/>
          </w:tcPr>
          <w:p w14:paraId="40EA8793" w14:textId="77777777" w:rsidR="00DE2B32" w:rsidRPr="002D2F20" w:rsidRDefault="00DE2B32" w:rsidP="00FE61F2">
            <w:pPr>
              <w:pStyle w:val="TableText"/>
              <w:jc w:val="center"/>
              <w:rPr>
                <w:sz w:val="18"/>
                <w:szCs w:val="18"/>
              </w:rPr>
            </w:pPr>
            <w:r w:rsidRPr="002D2F20">
              <w:rPr>
                <w:sz w:val="18"/>
                <w:szCs w:val="18"/>
              </w:rPr>
              <w:t>#/vehicle</w:t>
            </w:r>
          </w:p>
        </w:tc>
        <w:tc>
          <w:tcPr>
            <w:tcW w:w="1622" w:type="dxa"/>
          </w:tcPr>
          <w:p w14:paraId="40EA8794" w14:textId="77777777" w:rsidR="00DE2B32" w:rsidRPr="002D2F20" w:rsidRDefault="00DE2B32" w:rsidP="00FE61F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DE2B32" w:rsidRPr="002D2F20" w14:paraId="40EA8799" w14:textId="77777777" w:rsidTr="15C8C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76" w:type="dxa"/>
          </w:tcPr>
          <w:p w14:paraId="40EA8796" w14:textId="77777777" w:rsidR="00DE2B32" w:rsidRPr="002D2F20" w:rsidRDefault="00DE2B32" w:rsidP="00FE61F2">
            <w:pPr>
              <w:pStyle w:val="TableText"/>
              <w:rPr>
                <w:sz w:val="18"/>
                <w:szCs w:val="18"/>
              </w:rPr>
            </w:pPr>
            <w:r w:rsidRPr="002D2F20">
              <w:rPr>
                <w:sz w:val="18"/>
                <w:szCs w:val="18"/>
              </w:rPr>
              <w:t xml:space="preserve"> - Fatigue regulated HVs (w/ HVNL work diary)</w:t>
            </w:r>
          </w:p>
        </w:tc>
        <w:tc>
          <w:tcPr>
            <w:tcW w:w="1622" w:type="dxa"/>
          </w:tcPr>
          <w:p w14:paraId="40EA8797" w14:textId="77777777" w:rsidR="00DE2B32" w:rsidRPr="002D2F20" w:rsidRDefault="00DE2B32" w:rsidP="00FE61F2">
            <w:pPr>
              <w:pStyle w:val="TableText"/>
              <w:jc w:val="center"/>
              <w:rPr>
                <w:sz w:val="18"/>
                <w:szCs w:val="18"/>
              </w:rPr>
            </w:pPr>
            <w:r w:rsidRPr="002D2F20">
              <w:rPr>
                <w:sz w:val="18"/>
                <w:szCs w:val="18"/>
              </w:rPr>
              <w:t>#/vehicle</w:t>
            </w:r>
          </w:p>
        </w:tc>
        <w:tc>
          <w:tcPr>
            <w:tcW w:w="1622" w:type="dxa"/>
          </w:tcPr>
          <w:p w14:paraId="40EA8798" w14:textId="77777777" w:rsidR="00DE2B32" w:rsidRPr="002D2F20" w:rsidRDefault="00DE2B32" w:rsidP="00FE61F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DE2B32" w:rsidRPr="002D2F20" w14:paraId="40EA879D" w14:textId="77777777" w:rsidTr="15C8CB5B">
        <w:tc>
          <w:tcPr>
            <w:tcW w:w="5776" w:type="dxa"/>
          </w:tcPr>
          <w:p w14:paraId="40EA879A" w14:textId="77777777" w:rsidR="00DE2B32" w:rsidRPr="002D2F20" w:rsidRDefault="00DE2B32" w:rsidP="00FE61F2">
            <w:pPr>
              <w:pStyle w:val="TableText"/>
              <w:rPr>
                <w:sz w:val="18"/>
                <w:szCs w:val="18"/>
              </w:rPr>
            </w:pPr>
            <w:r w:rsidRPr="002D2F20">
              <w:rPr>
                <w:sz w:val="18"/>
                <w:szCs w:val="18"/>
              </w:rPr>
              <w:t xml:space="preserve"> - Fatigue regulated HVs (w/o HVNL work diary)</w:t>
            </w:r>
          </w:p>
        </w:tc>
        <w:tc>
          <w:tcPr>
            <w:tcW w:w="1622" w:type="dxa"/>
          </w:tcPr>
          <w:p w14:paraId="40EA879B" w14:textId="77777777" w:rsidR="00DE2B32" w:rsidRPr="002D2F20" w:rsidRDefault="00DE2B32" w:rsidP="00FE61F2">
            <w:pPr>
              <w:pStyle w:val="TableText"/>
              <w:jc w:val="center"/>
              <w:rPr>
                <w:sz w:val="18"/>
                <w:szCs w:val="18"/>
              </w:rPr>
            </w:pPr>
            <w:r w:rsidRPr="002D2F20">
              <w:rPr>
                <w:sz w:val="18"/>
                <w:szCs w:val="18"/>
              </w:rPr>
              <w:t>#/vehicle</w:t>
            </w:r>
          </w:p>
        </w:tc>
        <w:tc>
          <w:tcPr>
            <w:tcW w:w="1622" w:type="dxa"/>
          </w:tcPr>
          <w:p w14:paraId="40EA879C" w14:textId="77777777" w:rsidR="00DE2B32" w:rsidRPr="002D2F20" w:rsidRDefault="00DE2B32" w:rsidP="00FE61F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DE2B32" w:rsidRPr="002D2F20" w14:paraId="40EA87A1" w14:textId="77777777" w:rsidTr="15C8C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76" w:type="dxa"/>
          </w:tcPr>
          <w:p w14:paraId="40EA879E" w14:textId="77777777" w:rsidR="00DE2B32" w:rsidRPr="002D2F20" w:rsidRDefault="00DE2B32" w:rsidP="00FE61F2">
            <w:pPr>
              <w:pStyle w:val="TableText"/>
              <w:rPr>
                <w:sz w:val="18"/>
                <w:szCs w:val="18"/>
              </w:rPr>
            </w:pPr>
            <w:r w:rsidRPr="002D2F20">
              <w:rPr>
                <w:sz w:val="18"/>
                <w:szCs w:val="18"/>
              </w:rPr>
              <w:t>Annual salary of FTE staff</w:t>
            </w:r>
          </w:p>
        </w:tc>
        <w:tc>
          <w:tcPr>
            <w:tcW w:w="1622" w:type="dxa"/>
          </w:tcPr>
          <w:p w14:paraId="40EA879F" w14:textId="77777777" w:rsidR="00DE2B32" w:rsidRPr="002D2F20" w:rsidRDefault="00DE2B32" w:rsidP="00FE61F2">
            <w:pPr>
              <w:pStyle w:val="TableText"/>
              <w:jc w:val="center"/>
              <w:rPr>
                <w:sz w:val="18"/>
                <w:szCs w:val="18"/>
              </w:rPr>
            </w:pPr>
            <w:r w:rsidRPr="002D2F20">
              <w:rPr>
                <w:sz w:val="18"/>
                <w:szCs w:val="18"/>
              </w:rPr>
              <w:t>$/Year</w:t>
            </w:r>
          </w:p>
        </w:tc>
        <w:tc>
          <w:tcPr>
            <w:tcW w:w="1622" w:type="dxa"/>
          </w:tcPr>
          <w:p w14:paraId="40EA87A0" w14:textId="77777777" w:rsidR="00DE2B32" w:rsidRPr="002D2F20" w:rsidRDefault="00DE2B32" w:rsidP="00FE61F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2579DE" w:rsidRPr="002D2F20" w14:paraId="095ADB9D" w14:textId="77777777" w:rsidTr="15C8CB5B">
        <w:tc>
          <w:tcPr>
            <w:tcW w:w="5776" w:type="dxa"/>
          </w:tcPr>
          <w:p w14:paraId="04748423" w14:textId="624EFBF4" w:rsidR="002579DE" w:rsidRPr="002D2F20" w:rsidRDefault="002579DE" w:rsidP="00FE61F2">
            <w:pPr>
              <w:pStyle w:val="TableText"/>
              <w:rPr>
                <w:b/>
                <w:bCs/>
                <w:sz w:val="18"/>
                <w:szCs w:val="18"/>
              </w:rPr>
            </w:pPr>
            <w:r w:rsidRPr="002D2F20">
              <w:rPr>
                <w:b/>
                <w:bCs/>
                <w:sz w:val="18"/>
                <w:szCs w:val="18"/>
              </w:rPr>
              <w:t xml:space="preserve">Other costs not captured </w:t>
            </w:r>
          </w:p>
        </w:tc>
        <w:tc>
          <w:tcPr>
            <w:tcW w:w="1622" w:type="dxa"/>
          </w:tcPr>
          <w:p w14:paraId="04FDDE7A" w14:textId="77777777" w:rsidR="002579DE" w:rsidRPr="002D2F20" w:rsidRDefault="002579DE" w:rsidP="00FE61F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14:paraId="1A4CA4CC" w14:textId="77777777" w:rsidR="002579DE" w:rsidRPr="002D2F20" w:rsidRDefault="002579DE" w:rsidP="00FE61F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2579DE" w:rsidRPr="002D2F20" w14:paraId="40A8ED4C" w14:textId="77777777" w:rsidTr="15C8C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76" w:type="dxa"/>
          </w:tcPr>
          <w:p w14:paraId="6CAE32A2" w14:textId="5D105C6D" w:rsidR="002579DE" w:rsidRPr="002D2F20" w:rsidRDefault="002579DE" w:rsidP="00FE61F2">
            <w:pPr>
              <w:pStyle w:val="TableText"/>
              <w:rPr>
                <w:sz w:val="18"/>
                <w:szCs w:val="18"/>
              </w:rPr>
            </w:pPr>
            <w:r w:rsidRPr="002D2F20">
              <w:rPr>
                <w:sz w:val="18"/>
                <w:szCs w:val="18"/>
              </w:rPr>
              <w:t xml:space="preserve">Please add any additional </w:t>
            </w:r>
            <w:r w:rsidR="00384822" w:rsidRPr="002D2F20">
              <w:rPr>
                <w:sz w:val="18"/>
                <w:szCs w:val="18"/>
              </w:rPr>
              <w:t xml:space="preserve">operational/administrative </w:t>
            </w:r>
            <w:r w:rsidRPr="002D2F20">
              <w:rPr>
                <w:sz w:val="18"/>
                <w:szCs w:val="18"/>
              </w:rPr>
              <w:t>costs</w:t>
            </w:r>
            <w:r w:rsidR="00384822" w:rsidRPr="002D2F20">
              <w:rPr>
                <w:sz w:val="18"/>
                <w:szCs w:val="18"/>
              </w:rPr>
              <w:t xml:space="preserve"> not covered above.</w:t>
            </w:r>
          </w:p>
        </w:tc>
        <w:tc>
          <w:tcPr>
            <w:tcW w:w="1622" w:type="dxa"/>
          </w:tcPr>
          <w:p w14:paraId="71D956AD" w14:textId="77777777" w:rsidR="002579DE" w:rsidRPr="002D2F20" w:rsidRDefault="002579DE" w:rsidP="00FE61F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14:paraId="39DF255B" w14:textId="77777777" w:rsidR="002579DE" w:rsidRPr="002D2F20" w:rsidRDefault="002579DE" w:rsidP="00FE61F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</w:tbl>
    <w:p w14:paraId="3BA9EB69" w14:textId="77777777" w:rsidR="00AE52DA" w:rsidRDefault="00AE52DA" w:rsidP="00AE52DA">
      <w:pPr>
        <w:spacing w:after="0"/>
        <w:rPr>
          <w:b/>
          <w:bCs/>
        </w:rPr>
      </w:pPr>
    </w:p>
    <w:p w14:paraId="2FDA6891" w14:textId="42A47F06" w:rsidR="00892352" w:rsidRDefault="00892352" w:rsidP="00A218C8">
      <w:pPr>
        <w:spacing w:after="360"/>
      </w:pPr>
      <w:r w:rsidRPr="009E6269">
        <w:rPr>
          <w:b/>
          <w:bCs/>
        </w:rPr>
        <w:t>Contact:</w:t>
      </w:r>
      <w:r>
        <w:t xml:space="preserve"> For further information, please contact Caroline Evans: </w:t>
      </w:r>
      <w:hyperlink r:id="rId9" w:history="1">
        <w:r w:rsidR="009E6269" w:rsidRPr="00A260F5">
          <w:rPr>
            <w:rStyle w:val="Hyperlink"/>
          </w:rPr>
          <w:t>cevans@ntc.gov.au</w:t>
        </w:r>
      </w:hyperlink>
      <w:r w:rsidR="009E6269">
        <w:t xml:space="preserve"> and Justina Diaconu: </w:t>
      </w:r>
      <w:hyperlink r:id="rId10" w:history="1">
        <w:r w:rsidR="001016B0" w:rsidRPr="00A260F5">
          <w:rPr>
            <w:rStyle w:val="Hyperlink"/>
          </w:rPr>
          <w:t>jdiaconu@ntc.gov.au</w:t>
        </w:r>
      </w:hyperlink>
      <w:r w:rsidR="001016B0">
        <w:t xml:space="preserve"> </w:t>
      </w:r>
    </w:p>
    <w:sectPr w:rsidR="00892352" w:rsidSect="00D579B0">
      <w:headerReference w:type="even" r:id="rId11"/>
      <w:headerReference w:type="default" r:id="rId12"/>
      <w:headerReference w:type="first" r:id="rId13"/>
      <w:pgSz w:w="11906" w:h="16838"/>
      <w:pgMar w:top="85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F559B" w14:textId="77777777" w:rsidR="00301E18" w:rsidRDefault="00301E18" w:rsidP="00DE2B32">
      <w:pPr>
        <w:spacing w:after="0" w:line="240" w:lineRule="auto"/>
      </w:pPr>
      <w:r>
        <w:separator/>
      </w:r>
    </w:p>
  </w:endnote>
  <w:endnote w:type="continuationSeparator" w:id="0">
    <w:p w14:paraId="43DEE3D4" w14:textId="77777777" w:rsidR="00301E18" w:rsidRDefault="00301E18" w:rsidP="00DE2B32">
      <w:pPr>
        <w:spacing w:after="0" w:line="240" w:lineRule="auto"/>
      </w:pPr>
      <w:r>
        <w:continuationSeparator/>
      </w:r>
    </w:p>
  </w:endnote>
  <w:endnote w:type="continuationNotice" w:id="1">
    <w:p w14:paraId="5106465B" w14:textId="77777777" w:rsidR="00301E18" w:rsidRDefault="00301E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oyota Text">
    <w:charset w:val="00"/>
    <w:family w:val="swiss"/>
    <w:pitch w:val="variable"/>
    <w:sig w:usb0="A00002AF" w:usb1="5000205B" w:usb2="00000000" w:usb3="00000000" w:csb0="0000009F" w:csb1="00000000"/>
  </w:font>
  <w:font w:name="Times">
    <w:altName w:val="Times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FA08A" w14:textId="77777777" w:rsidR="00301E18" w:rsidRDefault="00301E18" w:rsidP="00DE2B32">
      <w:pPr>
        <w:spacing w:after="0" w:line="240" w:lineRule="auto"/>
      </w:pPr>
      <w:r>
        <w:separator/>
      </w:r>
    </w:p>
  </w:footnote>
  <w:footnote w:type="continuationSeparator" w:id="0">
    <w:p w14:paraId="0FF3F58A" w14:textId="77777777" w:rsidR="00301E18" w:rsidRDefault="00301E18" w:rsidP="00DE2B32">
      <w:pPr>
        <w:spacing w:after="0" w:line="240" w:lineRule="auto"/>
      </w:pPr>
      <w:r>
        <w:continuationSeparator/>
      </w:r>
    </w:p>
  </w:footnote>
  <w:footnote w:type="continuationNotice" w:id="1">
    <w:p w14:paraId="57EBAE48" w14:textId="77777777" w:rsidR="00301E18" w:rsidRDefault="00301E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87AB" w14:textId="77777777" w:rsidR="00DE2B32" w:rsidRDefault="00301E18">
    <w:pPr>
      <w:pStyle w:val="Header"/>
    </w:pPr>
    <w:r>
      <w:rPr>
        <w:noProof/>
      </w:rPr>
      <w:pict w14:anchorId="40EA87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41454" o:spid="_x0000_s2050" type="#_x0000_t136" style="position:absolute;margin-left:0;margin-top:0;width:477.2pt;height:159.0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87AC" w14:textId="77777777" w:rsidR="00DE2B32" w:rsidRDefault="00301E18">
    <w:pPr>
      <w:pStyle w:val="Header"/>
    </w:pPr>
    <w:r>
      <w:rPr>
        <w:noProof/>
      </w:rPr>
      <w:pict w14:anchorId="40EA87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41455" o:spid="_x0000_s2051" type="#_x0000_t136" style="position:absolute;margin-left:0;margin-top:0;width:477.2pt;height:159.0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87AF" w14:textId="77777777" w:rsidR="00DE2B32" w:rsidRDefault="00301E18">
    <w:pPr>
      <w:pStyle w:val="Header"/>
    </w:pPr>
    <w:r>
      <w:rPr>
        <w:noProof/>
      </w:rPr>
      <w:pict w14:anchorId="40EA87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41453" o:spid="_x0000_s2049" type="#_x0000_t136" style="position:absolute;margin-left:0;margin-top:0;width:477.2pt;height:159.0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TezNDA1MTQzMTBR0lEKTi0uzszPAykwrAUAMWvzviwAAAA="/>
  </w:docVars>
  <w:rsids>
    <w:rsidRoot w:val="00DE2B32"/>
    <w:rsid w:val="00006BB5"/>
    <w:rsid w:val="00060651"/>
    <w:rsid w:val="00085CE2"/>
    <w:rsid w:val="00090187"/>
    <w:rsid w:val="001016B0"/>
    <w:rsid w:val="001B4ECB"/>
    <w:rsid w:val="0022237A"/>
    <w:rsid w:val="002579DE"/>
    <w:rsid w:val="002719B0"/>
    <w:rsid w:val="002D2F20"/>
    <w:rsid w:val="00301E18"/>
    <w:rsid w:val="00332FD0"/>
    <w:rsid w:val="003505D1"/>
    <w:rsid w:val="00384822"/>
    <w:rsid w:val="00455D72"/>
    <w:rsid w:val="004A5994"/>
    <w:rsid w:val="004B240A"/>
    <w:rsid w:val="00523480"/>
    <w:rsid w:val="00545866"/>
    <w:rsid w:val="005A43EA"/>
    <w:rsid w:val="005C4B9B"/>
    <w:rsid w:val="00626AE1"/>
    <w:rsid w:val="00626D47"/>
    <w:rsid w:val="00634388"/>
    <w:rsid w:val="006C3D48"/>
    <w:rsid w:val="00736DAE"/>
    <w:rsid w:val="00747289"/>
    <w:rsid w:val="00804CF3"/>
    <w:rsid w:val="008138D7"/>
    <w:rsid w:val="008609BE"/>
    <w:rsid w:val="00892352"/>
    <w:rsid w:val="009072D9"/>
    <w:rsid w:val="009C706C"/>
    <w:rsid w:val="009E6269"/>
    <w:rsid w:val="00A218C8"/>
    <w:rsid w:val="00A30E27"/>
    <w:rsid w:val="00AE52DA"/>
    <w:rsid w:val="00AF635D"/>
    <w:rsid w:val="00B343A5"/>
    <w:rsid w:val="00B836B4"/>
    <w:rsid w:val="00C44457"/>
    <w:rsid w:val="00C54FBE"/>
    <w:rsid w:val="00C64907"/>
    <w:rsid w:val="00CB305C"/>
    <w:rsid w:val="00D20E57"/>
    <w:rsid w:val="00D579B0"/>
    <w:rsid w:val="00D87BB6"/>
    <w:rsid w:val="00DE2B32"/>
    <w:rsid w:val="00E86036"/>
    <w:rsid w:val="00F24B47"/>
    <w:rsid w:val="00FE61F2"/>
    <w:rsid w:val="00FF59F4"/>
    <w:rsid w:val="00FF7BA3"/>
    <w:rsid w:val="15C8CB5B"/>
    <w:rsid w:val="246E55DE"/>
    <w:rsid w:val="57A076B2"/>
    <w:rsid w:val="599BF275"/>
    <w:rsid w:val="6AE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EA8751"/>
  <w15:chartTrackingRefBased/>
  <w15:docId w15:val="{0944DC0C-C883-4F6D-A804-46577DDE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7"/>
    <w:qFormat/>
    <w:rsid w:val="00DE2B32"/>
    <w:pPr>
      <w:spacing w:before="100" w:after="100" w:line="264" w:lineRule="auto"/>
    </w:pPr>
    <w:rPr>
      <w:rFonts w:ascii="Open Sans" w:hAnsi="Open Sans"/>
      <w:color w:val="000000" w:themeColor="text1"/>
      <w:sz w:val="20"/>
      <w:szCs w:val="20"/>
    </w:rPr>
  </w:style>
  <w:style w:type="table" w:customStyle="1" w:styleId="FETableStyle">
    <w:name w:val="FE Table Style"/>
    <w:basedOn w:val="TableNormal"/>
    <w:uiPriority w:val="99"/>
    <w:rsid w:val="00DE2B32"/>
    <w:pPr>
      <w:keepNext/>
      <w:spacing w:before="120" w:after="120" w:line="240" w:lineRule="auto"/>
    </w:pPr>
    <w:rPr>
      <w:rFonts w:ascii="Open Sans" w:hAnsi="Open Sans"/>
      <w:sz w:val="20"/>
      <w:szCs w:val="20"/>
    </w:rPr>
    <w:tblPr>
      <w:tblStyleRowBandSize w:val="1"/>
      <w:tblStyleColBandSize w:val="1"/>
      <w:tblBorders>
        <w:bottom w:val="single" w:sz="4" w:space="0" w:color="ED7D31" w:themeColor="accent2"/>
      </w:tblBorders>
    </w:tblPr>
    <w:trPr>
      <w:cantSplit/>
    </w:trPr>
    <w:tcPr>
      <w:shd w:val="clear" w:color="auto" w:fill="D0CECE" w:themeFill="background2" w:themeFillShade="E6"/>
      <w:vAlign w:val="center"/>
    </w:tcPr>
    <w:tblStylePr w:type="firstRow">
      <w:pPr>
        <w:jc w:val="left"/>
      </w:pPr>
      <w:rPr>
        <w:rFonts w:ascii="Toyota Text" w:hAnsi="Toyota Text"/>
        <w:b w:val="0"/>
        <w:i w:val="0"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shd w:val="clear" w:color="auto" w:fill="ED7D31" w:themeFill="accent2"/>
      </w:tcPr>
    </w:tblStylePr>
    <w:tblStylePr w:type="lastRow">
      <w:pPr>
        <w:jc w:val="left"/>
      </w:pPr>
      <w:rPr>
        <w:rFonts w:ascii="Times" w:hAnsi="Times"/>
        <w:sz w:val="22"/>
      </w:rPr>
      <w:tblPr/>
      <w:tcPr>
        <w:tcBorders>
          <w:bottom w:val="single" w:sz="4" w:space="0" w:color="E7E6E6" w:themeColor="background2"/>
        </w:tcBorders>
        <w:shd w:val="clear" w:color="auto" w:fill="E7E6E6" w:themeFill="background2"/>
      </w:tcPr>
    </w:tblStylePr>
    <w:tblStylePr w:type="firstCol">
      <w:rPr>
        <w:rFonts w:asciiTheme="majorHAnsi" w:hAnsiTheme="majorHAnsi"/>
        <w:b/>
        <w:i w:val="0"/>
        <w:caps/>
        <w:smallCaps w:val="0"/>
        <w:color w:val="FFFFFF" w:themeColor="background1"/>
      </w:rPr>
    </w:tblStylePr>
    <w:tblStylePr w:type="band2Vert">
      <w:rPr>
        <w:color w:val="auto"/>
      </w:rPr>
    </w:tblStylePr>
    <w:tblStylePr w:type="band1Horz">
      <w:rPr>
        <w:rFonts w:ascii="Times" w:hAnsi="Times"/>
      </w:rPr>
      <w:tblPr/>
      <w:tcPr>
        <w:tcBorders>
          <w:top w:val="nil"/>
          <w:left w:val="nil"/>
          <w:bottom w:val="single" w:sz="4" w:space="0" w:color="E7E6E6" w:themeColor="background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rPr>
        <w:rFonts w:ascii="Times" w:hAnsi="Times"/>
      </w:rPr>
      <w:tblPr/>
      <w:tcPr>
        <w:tcBorders>
          <w:bottom w:val="nil"/>
        </w:tcBorders>
        <w:shd w:val="clear" w:color="auto" w:fill="E7E6E6" w:themeFill="background2"/>
      </w:tcPr>
    </w:tblStylePr>
  </w:style>
  <w:style w:type="table" w:styleId="ListTable3-Accent2">
    <w:name w:val="List Table 3 Accent 2"/>
    <w:basedOn w:val="TableNormal"/>
    <w:uiPriority w:val="48"/>
    <w:rsid w:val="00DE2B3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E2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B32"/>
  </w:style>
  <w:style w:type="paragraph" w:styleId="Footer">
    <w:name w:val="footer"/>
    <w:basedOn w:val="Normal"/>
    <w:link w:val="FooterChar"/>
    <w:uiPriority w:val="99"/>
    <w:unhideWhenUsed/>
    <w:rsid w:val="00DE2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B32"/>
  </w:style>
  <w:style w:type="character" w:customStyle="1" w:styleId="normaltextrun">
    <w:name w:val="normaltextrun"/>
    <w:basedOn w:val="DefaultParagraphFont"/>
    <w:rsid w:val="00B343A5"/>
  </w:style>
  <w:style w:type="character" w:customStyle="1" w:styleId="eop">
    <w:name w:val="eop"/>
    <w:basedOn w:val="DefaultParagraphFont"/>
    <w:rsid w:val="00B343A5"/>
  </w:style>
  <w:style w:type="character" w:styleId="Hyperlink">
    <w:name w:val="Hyperlink"/>
    <w:basedOn w:val="DefaultParagraphFont"/>
    <w:uiPriority w:val="99"/>
    <w:unhideWhenUsed/>
    <w:rsid w:val="009E6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diaconu@ntc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cevans@ntc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08B81976E7B458EC9C573C31C72B6" ma:contentTypeVersion="11" ma:contentTypeDescription="Create a new document." ma:contentTypeScope="" ma:versionID="91f8acb6acbefe60cc92044c650c3ae9">
  <xsd:schema xmlns:xsd="http://www.w3.org/2001/XMLSchema" xmlns:xs="http://www.w3.org/2001/XMLSchema" xmlns:p="http://schemas.microsoft.com/office/2006/metadata/properties" xmlns:ns2="5ec070ae-3bbe-4d5d-bdd9-b219e1746d69" xmlns:ns3="b47cab59-61e5-4668-93d7-c8e0eb71ff06" targetNamespace="http://schemas.microsoft.com/office/2006/metadata/properties" ma:root="true" ma:fieldsID="0aa7d37ee2444199d63404207af77080" ns2:_="" ns3:_="">
    <xsd:import namespace="5ec070ae-3bbe-4d5d-bdd9-b219e1746d69"/>
    <xsd:import namespace="b47cab59-61e5-4668-93d7-c8e0eb71ff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070ae-3bbe-4d5d-bdd9-b219e1746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cab59-61e5-4668-93d7-c8e0eb71ff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45F3F4-DCB2-4443-A617-D6D485D612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D038D-A757-4377-913F-21EE8E5BD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c070ae-3bbe-4d5d-bdd9-b219e1746d69"/>
    <ds:schemaRef ds:uri="b47cab59-61e5-4668-93d7-c8e0eb71f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19364-BCFE-49B4-96FF-ADB9224478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>Transport for NSW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Diaconu</dc:creator>
  <cp:keywords/>
  <dc:description/>
  <cp:lastModifiedBy>Mohit Patiyal</cp:lastModifiedBy>
  <cp:revision>46</cp:revision>
  <dcterms:created xsi:type="dcterms:W3CDTF">2021-10-06T01:34:00Z</dcterms:created>
  <dcterms:modified xsi:type="dcterms:W3CDTF">2021-10-08T05:27:00Z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0x01010059008B81976E7B458EC9C573C31C72B6</vt:lpwstr>
  </property>
</Properties>
</file>